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val="en-US" w:eastAsia="pl-PL"/>
        </w:rPr>
        <w:t>OpenFlow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Tu dalej sie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która mogła by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komputerów w jakiej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ISO Open Systems Interconnection Reference Model</w:t>
      </w:r>
      <w:r w:rsidRPr="006210E6">
        <w:rPr>
          <w:rFonts w:ascii="Times New Roman" w:hAnsi="Times New Roman" w:cs="Times New Roman"/>
          <w:sz w:val="24"/>
          <w:szCs w:val="24"/>
        </w:rPr>
        <w:t>)</w:t>
      </w:r>
      <w:r>
        <w:rPr>
          <w:rFonts w:ascii="Times New Roman" w:hAnsi="Times New Roman" w:cs="Times New Roman"/>
          <w:sz w:val="24"/>
          <w:szCs w:val="24"/>
        </w:rPr>
        <w:t xml:space="preserve"> czyli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miejsca w których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Z pomocą w wykoniu tego celu wkroczyła koncepcja sieci programowalnych czyli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stawiona zostanie wirtualna sieć komputerowa typu SDN pozwalacjąca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RIP,OSPF,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r w:rsidRPr="006F35DA">
        <w:rPr>
          <w:lang w:val="en-US"/>
        </w:rPr>
        <w:t>Rysunek</w:t>
      </w:r>
      <w:r w:rsidRPr="007E334F">
        <w:rPr>
          <w:lang w:val="en-US"/>
        </w:rPr>
        <w:t xml:space="preserve"> </w:t>
      </w:r>
      <w:r>
        <w:fldChar w:fldCharType="begin"/>
      </w:r>
      <w:r w:rsidRPr="007E334F">
        <w:rPr>
          <w:lang w:val="en-US"/>
        </w:rPr>
        <w:instrText xml:space="preserve"> SEQ Rysunek \* ARABIC </w:instrText>
      </w:r>
      <w:r>
        <w:fldChar w:fldCharType="separate"/>
      </w:r>
      <w:r w:rsidR="003C4006">
        <w:rPr>
          <w:noProof/>
          <w:lang w:val="en-US"/>
        </w:rPr>
        <w:t>1</w:t>
      </w:r>
      <w:r>
        <w:fldChar w:fldCharType="end"/>
      </w:r>
      <w:r w:rsidRPr="007E334F">
        <w:rPr>
          <w:lang w:val="en-US"/>
        </w:rPr>
        <w:t>: Role data, control i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3C4006">
        <w:fldChar w:fldCharType="begin"/>
      </w:r>
      <w:r w:rsidR="003C4006">
        <w:instrText xml:space="preserve"> SEQ Rysunek \* ARABIC </w:instrText>
      </w:r>
      <w:r w:rsidR="003C4006">
        <w:fldChar w:fldCharType="separate"/>
      </w:r>
      <w:r w:rsidR="003C4006">
        <w:rPr>
          <w:noProof/>
        </w:rPr>
        <w:t>2</w:t>
      </w:r>
      <w:r w:rsidR="003C4006">
        <w:rPr>
          <w:noProof/>
        </w:rPr>
        <w:fldChar w:fldCharType="end"/>
      </w:r>
      <w:r>
        <w:t>: Zcentralizowany kontroler zarządzający warstwą control plane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Open Virtual Switch</w:t>
      </w:r>
      <w:r>
        <w:rPr>
          <w:rFonts w:ascii="Times New Roman" w:hAnsi="Times New Roman" w:cs="Times New Roman"/>
          <w:sz w:val="24"/>
          <w:szCs w:val="24"/>
        </w:rPr>
        <w:t xml:space="preserve">) czyli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dostosowany aby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NetFlow, Sflow, </w:t>
      </w:r>
      <w:r w:rsidR="00355EBF" w:rsidRPr="00355EBF">
        <w:rPr>
          <w:rFonts w:ascii="Times New Roman" w:hAnsi="Times New Roman" w:cs="Times New Roman"/>
          <w:sz w:val="24"/>
          <w:szCs w:val="24"/>
        </w:rPr>
        <w:t>IPFIX, RSPAN, CLI,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3C4006">
        <w:fldChar w:fldCharType="begin"/>
      </w:r>
      <w:r w:rsidR="003C4006">
        <w:instrText xml:space="preserve"> SEQ Rysunek \* ARABIC </w:instrText>
      </w:r>
      <w:r w:rsidR="003C4006">
        <w:fldChar w:fldCharType="separate"/>
      </w:r>
      <w:r w:rsidR="003C4006">
        <w:rPr>
          <w:noProof/>
        </w:rPr>
        <w:t>3</w:t>
      </w:r>
      <w:r w:rsidR="003C4006">
        <w:rPr>
          <w:noProof/>
        </w:rPr>
        <w:fldChar w:fldCharType="end"/>
      </w:r>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regół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wspomieć, że kontrolery SDN komunikują się z urządzeniami zarządzanymi nie tylko </w:t>
      </w:r>
      <w:r w:rsidR="009A249C">
        <w:rPr>
          <w:rFonts w:ascii="Times New Roman" w:hAnsi="Times New Roman" w:cs="Times New Roman"/>
          <w:sz w:val="24"/>
          <w:szCs w:val="24"/>
        </w:rPr>
        <w:lastRenderedPageBreak/>
        <w:t>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fldSimple w:instr=" SEQ Rysunek \* ARABIC ">
        <w:r w:rsidR="003C4006">
          <w:rPr>
            <w:noProof/>
          </w:rPr>
          <w:t>4</w:t>
        </w:r>
      </w:fldSimple>
      <w:r>
        <w:t>: Podstawowe komponenty OpenFlow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--OpenFlow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ch portów, odpowiedzialny jest tylko za modyfikowanie rekordów w tablicach skojarzeń OpenFlow (flow tables). W tym miejscu warto więc wspomieć, że ONF stworzył prtokół,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Więcej właśniwości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wspomiane,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Został on stworzony wraz z stworzeniem wirtualnych przełączników OVS jako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 xml:space="preserve">openvswitch.ko </w:t>
      </w:r>
      <w:r w:rsidR="000A10A0">
        <w:rPr>
          <w:rFonts w:ascii="Times New Roman" w:hAnsi="Times New Roman" w:cs="Times New Roman"/>
          <w:sz w:val="24"/>
          <w:szCs w:val="24"/>
        </w:rPr>
        <w:t>czyli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3C4006">
        <w:fldChar w:fldCharType="begin"/>
      </w:r>
      <w:r w:rsidR="003C4006">
        <w:instrText xml:space="preserve"> SEQ Rysunek \* ARABIC </w:instrText>
      </w:r>
      <w:r w:rsidR="003C4006">
        <w:fldChar w:fldCharType="separate"/>
      </w:r>
      <w:r w:rsidR="003C4006">
        <w:rPr>
          <w:noProof/>
        </w:rPr>
        <w:t>5</w:t>
      </w:r>
      <w:r w:rsidR="003C4006">
        <w:rPr>
          <w:noProof/>
        </w:rPr>
        <w:fldChar w:fldCharType="end"/>
      </w:r>
      <w:r>
        <w:t>: Interfejsy przełącznika OVS [6]</w:t>
      </w:r>
    </w:p>
    <w:p w:rsidR="00D863F2" w:rsidRDefault="00B5749F"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E-Line – usługa definiująca bezpośrednie połaczeniem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fldSimple w:instr=" SEQ Rysunek \* ARABIC ">
        <w:r w:rsidR="003C4006">
          <w:rPr>
            <w:noProof/>
          </w:rPr>
          <w:t>6</w:t>
        </w:r>
      </w:fldSimple>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względem których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Pr>
          <w:rFonts w:ascii="Times New Roman" w:hAnsi="Times New Roman" w:cs="Times New Roman"/>
          <w:sz w:val="24"/>
          <w:szCs w:val="24"/>
        </w:rPr>
        <w:lastRenderedPageBreak/>
        <w:t>wymaga aby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MEF definiuje ramkę danych jako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3C4006">
        <w:fldChar w:fldCharType="begin"/>
      </w:r>
      <w:r w:rsidR="003C4006">
        <w:instrText xml:space="preserve"> SEQ Rysunek \* ARABIC </w:instrText>
      </w:r>
      <w:r w:rsidR="003C4006">
        <w:fldChar w:fldCharType="separate"/>
      </w:r>
      <w:r w:rsidR="003C4006">
        <w:rPr>
          <w:noProof/>
        </w:rPr>
        <w:t>7</w:t>
      </w:r>
      <w:r w:rsidR="003C4006">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wzglęgu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3C4006">
        <w:fldChar w:fldCharType="begin"/>
      </w:r>
      <w:r w:rsidR="003C4006">
        <w:instrText xml:space="preserve"> SEQ Rysunek \* ARABIC </w:instrText>
      </w:r>
      <w:r w:rsidR="003C4006">
        <w:fldChar w:fldCharType="separate"/>
      </w:r>
      <w:r w:rsidR="003C4006">
        <w:rPr>
          <w:noProof/>
        </w:rPr>
        <w:t>8</w:t>
      </w:r>
      <w:r w:rsidR="003C4006">
        <w:rPr>
          <w:noProof/>
        </w:rPr>
        <w:fldChar w:fldCharType="end"/>
      </w:r>
      <w:r>
        <w:t>: Rodzaj tagu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traffic managemnt</w:t>
      </w:r>
      <w:r>
        <w:rPr>
          <w:rFonts w:ascii="Times New Roman" w:hAnsi="Times New Roman" w:cs="Times New Roman"/>
          <w:sz w:val="24"/>
          <w:szCs w:val="24"/>
        </w:rPr>
        <w:t>) czyli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OpenFlow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prot</w:t>
      </w:r>
      <w:r w:rsidR="008042AE">
        <w:rPr>
          <w:rFonts w:ascii="Times New Roman" w:hAnsi="Times New Roman" w:cs="Times New Roman"/>
          <w:sz w:val="24"/>
          <w:szCs w:val="24"/>
        </w:rPr>
        <w:t>koły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OpenFlow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r>
        <w:rPr>
          <w:rFonts w:ascii="Times New Roman" w:hAnsi="Times New Roman" w:cs="Times New Roman"/>
          <w:i/>
          <w:sz w:val="24"/>
          <w:szCs w:val="24"/>
        </w:rPr>
        <w:t>OpenFlow Switch Specification</w:t>
      </w:r>
      <w:r>
        <w:rPr>
          <w:rFonts w:ascii="Times New Roman" w:hAnsi="Times New Roman" w:cs="Times New Roman"/>
          <w:sz w:val="24"/>
          <w:szCs w:val="24"/>
        </w:rPr>
        <w:t xml:space="preserve">, który opisuje </w:t>
      </w:r>
      <w:r w:rsidR="009A6BE0">
        <w:rPr>
          <w:rFonts w:ascii="Times New Roman" w:hAnsi="Times New Roman" w:cs="Times New Roman"/>
          <w:sz w:val="24"/>
          <w:szCs w:val="24"/>
        </w:rPr>
        <w:t>OpenFlow,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switch</w:t>
      </w:r>
      <w:r w:rsidR="009A6BE0">
        <w:rPr>
          <w:rFonts w:ascii="Times New Roman" w:hAnsi="Times New Roman" w:cs="Times New Roman"/>
          <w:sz w:val="24"/>
          <w:szCs w:val="24"/>
        </w:rPr>
        <w:t>’</w:t>
      </w:r>
      <w:r>
        <w:rPr>
          <w:rFonts w:ascii="Times New Roman" w:hAnsi="Times New Roman" w:cs="Times New Roman"/>
          <w:sz w:val="24"/>
          <w:szCs w:val="24"/>
        </w:rPr>
        <w:t xml:space="preserve">a,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(0x06)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OpenFlow to switch i kontroler. O ile kontroler jest istotny w architekturze SDN, tak w architekturze OpenFlow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sidR="009A6BE0">
        <w:rPr>
          <w:rFonts w:ascii="Times New Roman" w:hAnsi="Times New Roman" w:cs="Times New Roman"/>
          <w:i/>
          <w:sz w:val="24"/>
          <w:szCs w:val="24"/>
        </w:rPr>
        <w:t>pipeline,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Transport Layer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Match fields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fldSimple w:instr=" SEQ Rysunek \* ARABIC ">
        <w:r w:rsidR="003C4006">
          <w:rPr>
            <w:noProof/>
          </w:rPr>
          <w:t>9</w:t>
        </w:r>
      </w:fldSimple>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--OpenFlow str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„if-then-go”.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fldSimple w:instr=" SEQ Rysunek \* ARABIC ">
        <w:r>
          <w:rPr>
            <w:noProof/>
          </w:rPr>
          <w:t>10</w:t>
        </w:r>
      </w:fldSimple>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--OpenFlow str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odpowiedzialna za tworzenie prostych mechanizmów QoS,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r w:rsidRPr="009362B7">
        <w:rPr>
          <w:rFonts w:ascii="Times New Roman" w:hAnsi="Times New Roman" w:cs="Times New Roman"/>
          <w:i/>
          <w:sz w:val="24"/>
          <w:szCs w:val="24"/>
          <w:lang w:val="en-US"/>
        </w:rPr>
        <w:t>OpenFlow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8A5DA4">
        <w:rPr>
          <w:rFonts w:ascii="Times New Roman" w:hAnsi="Times New Roman" w:cs="Times New Roman"/>
          <w:i/>
          <w:sz w:val="24"/>
          <w:szCs w:val="24"/>
        </w:rPr>
        <w:t xml:space="preserve">Type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r w:rsidR="00175907">
        <w:rPr>
          <w:rFonts w:ascii="Times New Roman" w:hAnsi="Times New Roman" w:cs="Times New Roman"/>
          <w:sz w:val="24"/>
          <w:szCs w:val="24"/>
          <w:lang w:val="en-US"/>
        </w:rPr>
        <w:t>i</w:t>
      </w:r>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długość wiadomości,</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wiadomości</w:t>
      </w:r>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Queue Structures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w:t>
      </w:r>
      <w:r>
        <w:rPr>
          <w:rFonts w:ascii="Times New Roman" w:hAnsi="Times New Roman" w:cs="Times New Roman"/>
          <w:sz w:val="24"/>
          <w:szCs w:val="24"/>
        </w:rPr>
        <w:t xml:space="preserve">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Stuktura dopasowywania przepływu (</w:t>
      </w:r>
      <w:r>
        <w:rPr>
          <w:rFonts w:ascii="Times New Roman" w:hAnsi="Times New Roman" w:cs="Times New Roman"/>
          <w:i/>
          <w:sz w:val="24"/>
          <w:szCs w:val="24"/>
        </w:rPr>
        <w:t>F</w:t>
      </w:r>
      <w:r>
        <w:rPr>
          <w:rFonts w:ascii="Times New Roman" w:hAnsi="Times New Roman" w:cs="Times New Roman"/>
          <w:i/>
          <w:sz w:val="24"/>
          <w:szCs w:val="24"/>
        </w:rPr>
        <w:t>low</w:t>
      </w:r>
      <w:r>
        <w:rPr>
          <w:rFonts w:ascii="Times New Roman" w:hAnsi="Times New Roman" w:cs="Times New Roman"/>
          <w:i/>
          <w:sz w:val="24"/>
          <w:szCs w:val="24"/>
        </w:rPr>
        <w:t xml:space="preserve"> Match)</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r w:rsidR="009A6BE0">
        <w:rPr>
          <w:rFonts w:ascii="Times New Roman" w:hAnsi="Times New Roman" w:cs="Times New Roman"/>
          <w:i/>
          <w:sz w:val="24"/>
          <w:szCs w:val="24"/>
        </w:rPr>
        <w:t>flow entries</w:t>
      </w:r>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Po opisaniu najważniejszych komponentów, można przystąpić do objaśnienia tego, w jaki sposób przepływy są przetwarzane w przełączniku OpenFlow.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Flow Match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źródłowy i docelowy, bity CoS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Header Match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Pipeline Match </w:t>
      </w:r>
      <w:r>
        <w:rPr>
          <w:rFonts w:ascii="Times New Roman" w:hAnsi="Times New Roman" w:cs="Times New Roman"/>
          <w:sz w:val="24"/>
          <w:szCs w:val="24"/>
        </w:rPr>
        <w:t>– dopasowywanie na podstawie pól dodanych do pakietu, innych niż nagłówek pakietu. Te pola to IN_PORT (wejściowy port), IN_PHY_PORT (wjściowy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r w:rsidR="00381DBA" w:rsidRPr="00381DBA">
        <w:rPr>
          <w:rFonts w:ascii="Times New Roman" w:hAnsi="Times New Roman" w:cs="Times New Roman"/>
          <w:i/>
          <w:sz w:val="24"/>
          <w:szCs w:val="24"/>
        </w:rPr>
        <w:t>Instructions</w:t>
      </w:r>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r w:rsidR="00381DBA">
        <w:rPr>
          <w:rFonts w:ascii="Times New Roman" w:hAnsi="Times New Roman" w:cs="Times New Roman"/>
          <w:i/>
          <w:sz w:val="24"/>
          <w:szCs w:val="24"/>
        </w:rPr>
        <w:t xml:space="preserve">Instructions </w:t>
      </w:r>
      <w:r w:rsidR="00381DBA">
        <w:rPr>
          <w:rFonts w:ascii="Times New Roman" w:hAnsi="Times New Roman" w:cs="Times New Roman"/>
          <w:sz w:val="24"/>
          <w:szCs w:val="24"/>
        </w:rPr>
        <w:t>zawiera zbiór instrukcji (</w:t>
      </w:r>
      <w:r w:rsidR="00381DBA">
        <w:rPr>
          <w:rFonts w:ascii="Times New Roman" w:hAnsi="Times New Roman" w:cs="Times New Roman"/>
          <w:i/>
          <w:sz w:val="24"/>
          <w:szCs w:val="24"/>
        </w:rPr>
        <w:t>Instruction set</w:t>
      </w:r>
      <w:r w:rsidR="00381DBA">
        <w:rPr>
          <w:rFonts w:ascii="Times New Roman" w:hAnsi="Times New Roman" w:cs="Times New Roman"/>
          <w:sz w:val="24"/>
          <w:szCs w:val="24"/>
        </w:rPr>
        <w:t>), a każda instrukcja może (lecz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fldSimple w:instr=" SEQ Rysunek \* ARABIC ">
        <w:r>
          <w:rPr>
            <w:noProof/>
          </w:rPr>
          <w:t>11</w:t>
        </w:r>
      </w:fldSimple>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--OpenFlow str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r>
        <w:rPr>
          <w:rFonts w:ascii="Times New Roman" w:hAnsi="Times New Roman" w:cs="Times New Roman"/>
          <w:i/>
          <w:sz w:val="24"/>
          <w:szCs w:val="24"/>
        </w:rPr>
        <w:t xml:space="preserve">Instruction </w:t>
      </w:r>
      <w:r>
        <w:rPr>
          <w:rFonts w:ascii="Times New Roman" w:hAnsi="Times New Roman" w:cs="Times New Roman"/>
          <w:sz w:val="24"/>
          <w:szCs w:val="24"/>
        </w:rPr>
        <w:t>ze zbioru instrukcji (</w:t>
      </w:r>
      <w:r>
        <w:rPr>
          <w:rFonts w:ascii="Times New Roman" w:hAnsi="Times New Roman" w:cs="Times New Roman"/>
          <w:i/>
          <w:sz w:val="24"/>
          <w:szCs w:val="24"/>
        </w:rPr>
        <w:t xml:space="preserve">Instruction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Meter </w:t>
      </w:r>
      <w:r>
        <w:rPr>
          <w:rFonts w:ascii="Times New Roman" w:hAnsi="Times New Roman" w:cs="Times New Roman"/>
          <w:i/>
          <w:sz w:val="24"/>
          <w:szCs w:val="24"/>
        </w:rPr>
        <w:t xml:space="preserve">meter-id </w:t>
      </w:r>
      <w:r>
        <w:rPr>
          <w:rFonts w:ascii="Times New Roman" w:hAnsi="Times New Roman" w:cs="Times New Roman"/>
          <w:sz w:val="24"/>
          <w:szCs w:val="24"/>
        </w:rPr>
        <w:t xml:space="preserve">(Opcjonalne) – wysyła pakiet do </w:t>
      </w:r>
      <w:r>
        <w:rPr>
          <w:rFonts w:ascii="Times New Roman" w:hAnsi="Times New Roman" w:cs="Times New Roman"/>
          <w:i/>
          <w:sz w:val="24"/>
          <w:szCs w:val="24"/>
        </w:rPr>
        <w:t xml:space="preserve">meter table </w:t>
      </w:r>
      <w:r>
        <w:rPr>
          <w:rFonts w:ascii="Times New Roman" w:hAnsi="Times New Roman" w:cs="Times New Roman"/>
          <w:sz w:val="24"/>
          <w:szCs w:val="24"/>
        </w:rPr>
        <w:t xml:space="preserve">wyspecyfikowanej przez </w:t>
      </w:r>
      <w:r>
        <w:rPr>
          <w:rFonts w:ascii="Times New Roman" w:hAnsi="Times New Roman" w:cs="Times New Roman"/>
          <w:i/>
          <w:sz w:val="24"/>
          <w:szCs w:val="24"/>
        </w:rPr>
        <w:t>meter-id,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r w:rsidRPr="00D16146">
        <w:rPr>
          <w:rFonts w:ascii="Times New Roman" w:hAnsi="Times New Roman" w:cs="Times New Roman"/>
          <w:sz w:val="24"/>
          <w:szCs w:val="24"/>
        </w:rPr>
        <w:t xml:space="preserve">Apply-Actions </w:t>
      </w:r>
      <w:r w:rsidRPr="00D16146">
        <w:rPr>
          <w:rFonts w:ascii="Times New Roman" w:hAnsi="Times New Roman" w:cs="Times New Roman"/>
          <w:i/>
          <w:sz w:val="24"/>
          <w:szCs w:val="24"/>
        </w:rPr>
        <w:t xml:space="preserve">actions(s)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Clear-Actions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r w:rsidR="00D16146">
        <w:rPr>
          <w:rFonts w:ascii="Times New Roman" w:hAnsi="Times New Roman" w:cs="Times New Roman"/>
          <w:sz w:val="24"/>
          <w:szCs w:val="24"/>
        </w:rPr>
        <w:t>(</w:t>
      </w:r>
      <w:r w:rsidR="00D16146" w:rsidRPr="00D16146">
        <w:rPr>
          <w:rFonts w:ascii="Times New Roman" w:hAnsi="Times New Roman" w:cs="Times New Roman"/>
          <w:i/>
          <w:sz w:val="24"/>
          <w:szCs w:val="24"/>
        </w:rPr>
        <w:t>action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 xml:space="preserve">Write-Actions </w:t>
      </w:r>
      <w:r>
        <w:rPr>
          <w:rFonts w:ascii="Times New Roman" w:hAnsi="Times New Roman" w:cs="Times New Roman"/>
          <w:i/>
          <w:sz w:val="24"/>
          <w:szCs w:val="24"/>
        </w:rPr>
        <w:t xml:space="preserve">action(s)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 xml:space="preserve">Write-Metadata </w:t>
      </w:r>
      <w:r>
        <w:rPr>
          <w:rFonts w:ascii="Times New Roman" w:hAnsi="Times New Roman" w:cs="Times New Roman"/>
          <w:i/>
          <w:sz w:val="24"/>
          <w:szCs w:val="24"/>
        </w:rPr>
        <w:t xml:space="preserve">metadata/mask </w:t>
      </w:r>
      <w:r w:rsidRPr="00D74575">
        <w:rPr>
          <w:rFonts w:ascii="Times New Roman" w:hAnsi="Times New Roman" w:cs="Times New Roman"/>
          <w:sz w:val="24"/>
          <w:szCs w:val="24"/>
        </w:rPr>
        <w:t>(</w:t>
      </w:r>
      <w:r w:rsidRPr="00D74575">
        <w:rPr>
          <w:rFonts w:ascii="Times New Roman" w:hAnsi="Times New Roman" w:cs="Times New Roman"/>
          <w:sz w:val="24"/>
          <w:szCs w:val="24"/>
        </w:rPr>
        <w:t>Opcjonalne</w:t>
      </w:r>
      <w:r w:rsidRPr="00D74575">
        <w:rPr>
          <w:rFonts w:ascii="Times New Roman" w:hAnsi="Times New Roman" w:cs="Times New Roman"/>
          <w:sz w:val="24"/>
          <w:szCs w:val="24"/>
        </w:rPr>
        <w:t>)</w:t>
      </w:r>
      <w:r>
        <w:rPr>
          <w:rFonts w:ascii="Times New Roman" w:hAnsi="Times New Roman" w:cs="Times New Roman"/>
          <w:sz w:val="24"/>
          <w:szCs w:val="24"/>
        </w:rPr>
        <w:t xml:space="preserve"> – zapisuje metdane do pola metadanych dla </w:t>
      </w:r>
      <w:r>
        <w:rPr>
          <w:rFonts w:ascii="Times New Roman" w:hAnsi="Times New Roman" w:cs="Times New Roman"/>
          <w:i/>
          <w:sz w:val="24"/>
          <w:szCs w:val="24"/>
        </w:rPr>
        <w:t>pipeline processing,</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 xml:space="preserve">Goto-Table </w:t>
      </w:r>
      <w:r w:rsidRPr="00D74575">
        <w:rPr>
          <w:rFonts w:ascii="Times New Roman" w:hAnsi="Times New Roman" w:cs="Times New Roman"/>
          <w:i/>
          <w:sz w:val="24"/>
          <w:szCs w:val="24"/>
        </w:rPr>
        <w:t xml:space="preserve">next-table-id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r w:rsidR="00D16146">
        <w:rPr>
          <w:rFonts w:ascii="Times New Roman" w:hAnsi="Times New Roman" w:cs="Times New Roman"/>
          <w:i/>
          <w:sz w:val="24"/>
          <w:szCs w:val="24"/>
        </w:rPr>
        <w:t>action set</w:t>
      </w:r>
      <w:r w:rsidR="00D16146">
        <w:rPr>
          <w:rFonts w:ascii="Times New Roman" w:hAnsi="Times New Roman" w:cs="Times New Roman"/>
          <w:sz w:val="24"/>
          <w:szCs w:val="24"/>
        </w:rPr>
        <w:t xml:space="preserve">). Jest on inicjalizowany na początku </w:t>
      </w:r>
      <w:r w:rsidR="00D16146">
        <w:rPr>
          <w:rFonts w:ascii="Times New Roman" w:hAnsi="Times New Roman" w:cs="Times New Roman"/>
          <w:i/>
          <w:sz w:val="24"/>
          <w:szCs w:val="24"/>
        </w:rPr>
        <w:t xml:space="preserve">pipeline processing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Write-Actions.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OpenFlow.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r w:rsidRPr="00FF742E">
        <w:rPr>
          <w:rFonts w:ascii="Times New Roman" w:hAnsi="Times New Roman" w:cs="Times New Roman"/>
          <w:i/>
          <w:sz w:val="24"/>
          <w:szCs w:val="24"/>
        </w:rPr>
        <w:t>ethertype</w:t>
      </w:r>
      <w:r>
        <w:rPr>
          <w:rFonts w:ascii="Times New Roman" w:hAnsi="Times New Roman" w:cs="Times New Roman"/>
          <w:sz w:val="24"/>
          <w:szCs w:val="24"/>
        </w:rPr>
        <w:t>) i wykonywać inne akcje, które zostaną opisane dokładniej później.</w:t>
      </w:r>
      <w:bookmarkStart w:id="0" w:name="_GoBack"/>
      <w:bookmarkEnd w:id="0"/>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396C23" w:rsidRDefault="00396C23" w:rsidP="00396C23">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547324" w:rsidRPr="00396C23" w:rsidRDefault="00547324" w:rsidP="00B057E1">
      <w:pPr>
        <w:pStyle w:val="ListParagraph"/>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TODO: Tutaj </w:t>
      </w:r>
      <w:r w:rsidR="008A5DA4">
        <w:rPr>
          <w:rFonts w:ascii="Times New Roman" w:hAnsi="Times New Roman" w:cs="Times New Roman"/>
          <w:sz w:val="24"/>
          <w:szCs w:val="24"/>
        </w:rPr>
        <w:t>napisze, według jakiej</w:t>
      </w:r>
      <w:r w:rsidR="006364E7">
        <w:rPr>
          <w:rFonts w:ascii="Times New Roman" w:hAnsi="Times New Roman" w:cs="Times New Roman"/>
          <w:sz w:val="24"/>
          <w:szCs w:val="24"/>
        </w:rPr>
        <w:t xml:space="preserve"> konkretnie specyfikacji</w:t>
      </w:r>
      <w:r>
        <w:rPr>
          <w:rFonts w:ascii="Times New Roman" w:hAnsi="Times New Roman" w:cs="Times New Roman"/>
          <w:sz w:val="24"/>
          <w:szCs w:val="24"/>
        </w:rPr>
        <w:t xml:space="preserve"> porównywany jest portokoł ovsdb</w:t>
      </w:r>
    </w:p>
    <w:p w:rsidR="00396C23" w:rsidRDefault="00396C23" w:rsidP="00396C23">
      <w:pPr>
        <w:pStyle w:val="ListParagraph"/>
        <w:spacing w:after="0" w:line="240" w:lineRule="auto"/>
        <w:ind w:left="708"/>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P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F629BF">
        <w:rPr>
          <w:rFonts w:ascii="Times New Roman" w:hAnsi="Times New Roman" w:cs="Times New Roman"/>
          <w:b/>
          <w:sz w:val="24"/>
          <w:szCs w:val="24"/>
        </w:rPr>
        <w:br/>
      </w:r>
      <w:r w:rsidR="00396C23">
        <w:rPr>
          <w:rFonts w:ascii="Times New Roman" w:hAnsi="Times New Roman" w:cs="Times New Roman"/>
          <w:b/>
          <w:sz w:val="24"/>
          <w:szCs w:val="24"/>
        </w:rPr>
        <w:br/>
      </w:r>
      <w:r w:rsidR="00396C23">
        <w:rPr>
          <w:rFonts w:ascii="Times New Roman" w:hAnsi="Times New Roman" w:cs="Times New Roman"/>
          <w:b/>
          <w:sz w:val="24"/>
          <w:szCs w:val="24"/>
        </w:rPr>
        <w:br/>
      </w:r>
    </w:p>
    <w:p w:rsid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P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27BF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r w:rsidR="00150169">
        <w:rPr>
          <w:rFonts w:ascii="Times New Roman" w:hAnsi="Times New Roman" w:cs="Times New Roman"/>
          <w:b/>
          <w:sz w:val="24"/>
          <w:szCs w:val="24"/>
        </w:rPr>
        <w:br/>
      </w:r>
      <w:r w:rsidR="00150169">
        <w:rPr>
          <w:rFonts w:ascii="Times New Roman" w:hAnsi="Times New Roman" w:cs="Times New Roman"/>
          <w:b/>
          <w:sz w:val="24"/>
          <w:szCs w:val="24"/>
        </w:rPr>
        <w:br/>
      </w:r>
      <w:r w:rsidR="00150169">
        <w:rPr>
          <w:rFonts w:ascii="Times New Roman" w:hAnsi="Times New Roman" w:cs="Times New Roman"/>
          <w:b/>
          <w:sz w:val="24"/>
          <w:szCs w:val="24"/>
        </w:rPr>
        <w:br/>
      </w:r>
    </w:p>
    <w:p w:rsidR="00150169"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CF1F1E">
        <w:rPr>
          <w:b w:val="0"/>
          <w:sz w:val="24"/>
          <w:szCs w:val="24"/>
          <w:lang w:val="en-US"/>
        </w:rPr>
        <w:t>Paul Goransson, Chuck Black</w:t>
      </w:r>
      <w:r w:rsidR="00C5131E" w:rsidRPr="00CF1F1E">
        <w:rPr>
          <w:b w:val="0"/>
          <w:sz w:val="24"/>
          <w:szCs w:val="24"/>
          <w:lang w:val="en-US"/>
        </w:rPr>
        <w:t xml:space="preserve">. Software Defined Networks: A Comprehensive Approach. </w:t>
      </w:r>
      <w:r w:rsidR="00C5131E" w:rsidRPr="00B71D51">
        <w:rPr>
          <w:b w:val="0"/>
          <w:sz w:val="24"/>
          <w:szCs w:val="24"/>
        </w:rPr>
        <w:t>Elsevier,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vSwitch. Getting Started. </w:t>
      </w:r>
      <w:hyperlink r:id="rId18" w:history="1">
        <w:r w:rsidRPr="0012061B">
          <w:rPr>
            <w:rStyle w:val="Hyperlink"/>
            <w:b w:val="0"/>
            <w:sz w:val="24"/>
            <w:szCs w:val="24"/>
            <w:lang w:val="en-US"/>
          </w:rPr>
          <w:t>http://docs.openvswitch.org/en/latest/intro</w:t>
        </w:r>
      </w:hyperlink>
      <w:r>
        <w:rPr>
          <w:b w:val="0"/>
          <w:sz w:val="24"/>
          <w:szCs w:val="24"/>
          <w:lang w:val="en-US"/>
        </w:rPr>
        <w:t>, 2016. [dostęp: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Rajdeep Dua. Open vSwitch deep dive. </w:t>
      </w:r>
      <w:hyperlink r:id="rId19" w:history="1">
        <w:r w:rsidRPr="0012061B">
          <w:rPr>
            <w:rStyle w:val="Hyperlink"/>
            <w:b w:val="0"/>
            <w:sz w:val="24"/>
            <w:szCs w:val="24"/>
            <w:lang w:val="en-US"/>
          </w:rPr>
          <w:t>https://www.slideshare.net/rajdeep/openvswitch-deep-dive</w:t>
        </w:r>
      </w:hyperlink>
      <w:r>
        <w:rPr>
          <w:b w:val="0"/>
          <w:sz w:val="24"/>
          <w:szCs w:val="24"/>
          <w:lang w:val="en-US"/>
        </w:rPr>
        <w:t>, 2013. [dostęp: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D. Marschke, J. Doyle, P. Moyer. SDN: Anatomy of OpenFlow</w:t>
      </w:r>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r>
        <w:rPr>
          <w:b w:val="0"/>
          <w:sz w:val="24"/>
          <w:szCs w:val="24"/>
          <w:lang w:val="en-US"/>
        </w:rPr>
        <w:t xml:space="preserve">SdxCentral. What is Open vSwitch Database or OVSDB?  </w:t>
      </w:r>
      <w:hyperlink r:id="rId20"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r w:rsidR="005B0CF9">
        <w:rPr>
          <w:b w:val="0"/>
          <w:sz w:val="24"/>
          <w:szCs w:val="24"/>
          <w:lang w:val="en-US"/>
        </w:rPr>
        <w:t xml:space="preserve">The Open vSwitch Database Management Protocol, </w:t>
      </w:r>
      <w:hyperlink r:id="rId21" w:history="1">
        <w:r w:rsidR="005B0CF9" w:rsidRPr="0012061B">
          <w:rPr>
            <w:rStyle w:val="Hyperlink"/>
            <w:b w:val="0"/>
            <w:sz w:val="24"/>
            <w:szCs w:val="24"/>
            <w:lang w:val="en-US"/>
          </w:rPr>
          <w:t>https://tools.ietf.org/html/draft-pfaff-ovsdb-proto-00</w:t>
        </w:r>
      </w:hyperlink>
      <w:r w:rsidR="005B0CF9">
        <w:rPr>
          <w:b w:val="0"/>
          <w:sz w:val="24"/>
          <w:szCs w:val="24"/>
          <w:lang w:val="en-US"/>
        </w:rPr>
        <w:t xml:space="preserve">, 2013, </w:t>
      </w:r>
      <w:r w:rsidR="005B0CF9">
        <w:rPr>
          <w:b w:val="0"/>
          <w:sz w:val="24"/>
          <w:szCs w:val="24"/>
          <w:lang w:val="en-US"/>
        </w:rPr>
        <w:br/>
        <w:t>[dostęp: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J. Kieffer, R. Satitoro, MEF-CECP Study Guide for Carrier Ethernet Professionals, Fujitsu Network Communications Inc., 2015.</w:t>
      </w:r>
    </w:p>
    <w:p w:rsidR="001B5376" w:rsidRPr="005B0CF9"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OpenFlow Switch Specification, </w:t>
      </w:r>
      <w:hyperlink r:id="rId22"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[dostęp: 2017-05-23]</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5"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7"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8"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9"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1"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2"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3"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4"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6"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7"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20"/>
  </w:num>
  <w:num w:numId="2">
    <w:abstractNumId w:val="5"/>
  </w:num>
  <w:num w:numId="3">
    <w:abstractNumId w:val="8"/>
  </w:num>
  <w:num w:numId="4">
    <w:abstractNumId w:val="12"/>
  </w:num>
  <w:num w:numId="5">
    <w:abstractNumId w:val="2"/>
  </w:num>
  <w:num w:numId="6">
    <w:abstractNumId w:val="16"/>
  </w:num>
  <w:num w:numId="7">
    <w:abstractNumId w:val="9"/>
  </w:num>
  <w:num w:numId="8">
    <w:abstractNumId w:val="14"/>
  </w:num>
  <w:num w:numId="9">
    <w:abstractNumId w:val="21"/>
  </w:num>
  <w:num w:numId="10">
    <w:abstractNumId w:val="1"/>
  </w:num>
  <w:num w:numId="11">
    <w:abstractNumId w:val="19"/>
  </w:num>
  <w:num w:numId="12">
    <w:abstractNumId w:val="18"/>
  </w:num>
  <w:num w:numId="13">
    <w:abstractNumId w:val="13"/>
  </w:num>
  <w:num w:numId="14">
    <w:abstractNumId w:val="15"/>
  </w:num>
  <w:num w:numId="15">
    <w:abstractNumId w:val="7"/>
  </w:num>
  <w:num w:numId="16">
    <w:abstractNumId w:val="6"/>
  </w:num>
  <w:num w:numId="17">
    <w:abstractNumId w:val="17"/>
  </w:num>
  <w:num w:numId="18">
    <w:abstractNumId w:val="11"/>
  </w:num>
  <w:num w:numId="19">
    <w:abstractNumId w:val="3"/>
  </w:num>
  <w:num w:numId="20">
    <w:abstractNumId w:val="4"/>
  </w:num>
  <w:num w:numId="21">
    <w:abstractNumId w:val="10"/>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500FD"/>
    <w:rsid w:val="0005473D"/>
    <w:rsid w:val="000A10A0"/>
    <w:rsid w:val="000A197B"/>
    <w:rsid w:val="000A4404"/>
    <w:rsid w:val="000B486C"/>
    <w:rsid w:val="001114F2"/>
    <w:rsid w:val="00140449"/>
    <w:rsid w:val="00147A0C"/>
    <w:rsid w:val="00150169"/>
    <w:rsid w:val="00175907"/>
    <w:rsid w:val="001A2D75"/>
    <w:rsid w:val="001B23A8"/>
    <w:rsid w:val="001B5376"/>
    <w:rsid w:val="001E6E60"/>
    <w:rsid w:val="0024159A"/>
    <w:rsid w:val="00282E0B"/>
    <w:rsid w:val="002F2862"/>
    <w:rsid w:val="002F7C37"/>
    <w:rsid w:val="003479EC"/>
    <w:rsid w:val="00355EBF"/>
    <w:rsid w:val="00381DBA"/>
    <w:rsid w:val="00393EEA"/>
    <w:rsid w:val="00396C23"/>
    <w:rsid w:val="003A00F9"/>
    <w:rsid w:val="003B0FFF"/>
    <w:rsid w:val="003B3544"/>
    <w:rsid w:val="003B720C"/>
    <w:rsid w:val="003C4006"/>
    <w:rsid w:val="003C4141"/>
    <w:rsid w:val="003E045D"/>
    <w:rsid w:val="004625AB"/>
    <w:rsid w:val="004E4212"/>
    <w:rsid w:val="0053088A"/>
    <w:rsid w:val="00547324"/>
    <w:rsid w:val="005600BC"/>
    <w:rsid w:val="00566CA4"/>
    <w:rsid w:val="005A699B"/>
    <w:rsid w:val="005B0524"/>
    <w:rsid w:val="005B0CF9"/>
    <w:rsid w:val="005C2BEB"/>
    <w:rsid w:val="005C3111"/>
    <w:rsid w:val="005D4965"/>
    <w:rsid w:val="005D6423"/>
    <w:rsid w:val="005F22D3"/>
    <w:rsid w:val="006210E6"/>
    <w:rsid w:val="00627BF7"/>
    <w:rsid w:val="00635CB7"/>
    <w:rsid w:val="006364E7"/>
    <w:rsid w:val="006574C4"/>
    <w:rsid w:val="00661981"/>
    <w:rsid w:val="00673626"/>
    <w:rsid w:val="00690CF3"/>
    <w:rsid w:val="00693D9B"/>
    <w:rsid w:val="006D059A"/>
    <w:rsid w:val="006F35DA"/>
    <w:rsid w:val="006F6C64"/>
    <w:rsid w:val="00710483"/>
    <w:rsid w:val="00713A9E"/>
    <w:rsid w:val="00716A24"/>
    <w:rsid w:val="007641C6"/>
    <w:rsid w:val="007D0EF0"/>
    <w:rsid w:val="007E334F"/>
    <w:rsid w:val="008042AE"/>
    <w:rsid w:val="0083014E"/>
    <w:rsid w:val="00835A8F"/>
    <w:rsid w:val="00850FF2"/>
    <w:rsid w:val="008A5DA4"/>
    <w:rsid w:val="008C17B4"/>
    <w:rsid w:val="008D0160"/>
    <w:rsid w:val="008D4165"/>
    <w:rsid w:val="008D54EB"/>
    <w:rsid w:val="009362B7"/>
    <w:rsid w:val="00943CF7"/>
    <w:rsid w:val="00956DC5"/>
    <w:rsid w:val="009574D0"/>
    <w:rsid w:val="009A249C"/>
    <w:rsid w:val="009A4FA8"/>
    <w:rsid w:val="009A657C"/>
    <w:rsid w:val="009A6BE0"/>
    <w:rsid w:val="009B2513"/>
    <w:rsid w:val="00A20BA7"/>
    <w:rsid w:val="00A33658"/>
    <w:rsid w:val="00A41E6D"/>
    <w:rsid w:val="00A45A7B"/>
    <w:rsid w:val="00A6328E"/>
    <w:rsid w:val="00A6427E"/>
    <w:rsid w:val="00A66647"/>
    <w:rsid w:val="00A83BB6"/>
    <w:rsid w:val="00AD65E4"/>
    <w:rsid w:val="00B057E1"/>
    <w:rsid w:val="00B5749F"/>
    <w:rsid w:val="00B71D51"/>
    <w:rsid w:val="00B82A78"/>
    <w:rsid w:val="00BA43DB"/>
    <w:rsid w:val="00BB66B3"/>
    <w:rsid w:val="00BF226D"/>
    <w:rsid w:val="00BF438F"/>
    <w:rsid w:val="00C301B0"/>
    <w:rsid w:val="00C46DBF"/>
    <w:rsid w:val="00C4750E"/>
    <w:rsid w:val="00C5131E"/>
    <w:rsid w:val="00C9201B"/>
    <w:rsid w:val="00CC076F"/>
    <w:rsid w:val="00CF1035"/>
    <w:rsid w:val="00CF1F1E"/>
    <w:rsid w:val="00D05532"/>
    <w:rsid w:val="00D16146"/>
    <w:rsid w:val="00D472A9"/>
    <w:rsid w:val="00D74575"/>
    <w:rsid w:val="00D863F2"/>
    <w:rsid w:val="00DE1722"/>
    <w:rsid w:val="00E4569F"/>
    <w:rsid w:val="00E525F7"/>
    <w:rsid w:val="00E66EC0"/>
    <w:rsid w:val="00ED0763"/>
    <w:rsid w:val="00F0007F"/>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docs.openvswitch.org/en/latest/intro" TargetMode="External"/><Relationship Id="rId3" Type="http://schemas.openxmlformats.org/officeDocument/2006/relationships/styles" Target="styles.xml"/><Relationship Id="rId21" Type="http://schemas.openxmlformats.org/officeDocument/2006/relationships/hyperlink" Target="https://tools.ietf.org/html/draft-pfaff-ovsdb-proto-00"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dxcentral.com/cloud/open-source/definitions/what-is-ovsdb/"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www.slideshare.net/rajdeep/openvswitch-deep-div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opennetworking.org/images/stories/downloads/sdn-resources/onf-specifications/openflow/openflow-switch-v1.5.0.noip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ADA35D-BEB1-47EE-A507-E408F229B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4511</TotalTime>
  <Pages>19</Pages>
  <Words>4224</Words>
  <Characters>25349</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24</cp:revision>
  <dcterms:created xsi:type="dcterms:W3CDTF">2017-05-20T14:43:00Z</dcterms:created>
  <dcterms:modified xsi:type="dcterms:W3CDTF">2017-05-23T22:22:00Z</dcterms:modified>
</cp:coreProperties>
</file>